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57D3B" w:rsidRPr="00493F89" w:rsidRDefault="00A57D3B" w:rsidP="00A57D3B">
      <w:pPr>
        <w:pStyle w:val="a4"/>
        <w:tabs>
          <w:tab w:val="left" w:pos="6521"/>
        </w:tabs>
        <w:rPr>
          <w:rFonts w:cs="Arial"/>
          <w:bCs/>
          <w:noProof w:val="0"/>
          <w:sz w:val="24"/>
          <w:szCs w:val="24"/>
          <w:lang w:val="de-DE"/>
        </w:rPr>
      </w:pPr>
      <w:bookmarkStart w:id="0" w:name="OLE_LINK1"/>
      <w:r w:rsidRPr="00601FD5">
        <w:rPr>
          <w:rFonts w:cs="Arial"/>
          <w:bCs/>
          <w:noProof w:val="0"/>
          <w:sz w:val="24"/>
          <w:szCs w:val="24"/>
          <w:lang w:val="de-DE"/>
        </w:rPr>
        <w:t>3GPP TSG RAN WG1 #</w:t>
      </w:r>
      <w:r>
        <w:rPr>
          <w:rFonts w:cs="Arial"/>
          <w:bCs/>
          <w:noProof w:val="0"/>
          <w:sz w:val="24"/>
          <w:szCs w:val="24"/>
          <w:lang w:val="de-DE"/>
        </w:rPr>
        <w:t>10</w:t>
      </w:r>
      <w:r w:rsidR="00E40821">
        <w:rPr>
          <w:rFonts w:cs="Arial"/>
          <w:bCs/>
          <w:noProof w:val="0"/>
          <w:sz w:val="24"/>
          <w:szCs w:val="24"/>
          <w:lang w:val="de-DE"/>
        </w:rPr>
        <w:t>2</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R1-200</w:t>
      </w:r>
      <w:r w:rsidR="009B5387">
        <w:rPr>
          <w:rFonts w:cs="Arial"/>
          <w:bCs/>
          <w:noProof w:val="0"/>
          <w:sz w:val="24"/>
          <w:szCs w:val="24"/>
          <w:lang w:val="de-DE"/>
        </w:rPr>
        <w:t>617</w:t>
      </w:r>
      <w:r w:rsidR="00763DD5">
        <w:rPr>
          <w:rFonts w:cs="Arial"/>
          <w:bCs/>
          <w:noProof w:val="0"/>
          <w:sz w:val="24"/>
          <w:szCs w:val="24"/>
          <w:lang w:val="de-DE"/>
        </w:rPr>
        <w:t>4</w:t>
      </w:r>
    </w:p>
    <w:p w:rsidR="00CE729D" w:rsidRPr="00FA3337" w:rsidRDefault="00A57D3B" w:rsidP="00A57D3B">
      <w:pPr>
        <w:pStyle w:val="a4"/>
        <w:tabs>
          <w:tab w:val="left" w:pos="6521"/>
        </w:tabs>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sidR="00E40821" w:rsidRPr="00E40821">
        <w:rPr>
          <w:rFonts w:cs="Arial"/>
          <w:bCs/>
          <w:noProof w:val="0"/>
          <w:sz w:val="24"/>
          <w:szCs w:val="24"/>
          <w:lang w:val="de-DE"/>
        </w:rPr>
        <w:t>August 17th – 28th,</w:t>
      </w:r>
      <w:r w:rsidR="00CC635D" w:rsidRPr="00601FD5">
        <w:rPr>
          <w:rFonts w:cs="Arial"/>
          <w:bCs/>
          <w:noProof w:val="0"/>
          <w:sz w:val="24"/>
          <w:szCs w:val="24"/>
          <w:lang w:val="de-DE"/>
        </w:rPr>
        <w:t xml:space="preserve"> </w:t>
      </w:r>
      <w:r w:rsidR="00016EBA">
        <w:rPr>
          <w:rFonts w:cs="Arial"/>
          <w:bCs/>
          <w:noProof w:val="0"/>
          <w:sz w:val="24"/>
          <w:szCs w:val="24"/>
          <w:lang w:val="de-DE"/>
        </w:rPr>
        <w:t>2020</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9B5387">
        <w:rPr>
          <w:rFonts w:ascii="Arial" w:eastAsia="맑은 고딕" w:hAnsi="Arial"/>
          <w:sz w:val="24"/>
          <w:szCs w:val="24"/>
          <w:lang w:eastAsia="ko-KR"/>
        </w:rPr>
        <w:t>8.12.</w:t>
      </w:r>
      <w:r w:rsidR="00F87684">
        <w:rPr>
          <w:rFonts w:ascii="Arial" w:eastAsia="맑은 고딕" w:hAnsi="Arial"/>
          <w:sz w:val="24"/>
          <w:szCs w:val="24"/>
          <w:lang w:eastAsia="ko-KR"/>
        </w:rPr>
        <w:t>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9B5387">
      <w:pPr>
        <w:spacing w:after="120"/>
        <w:ind w:left="1985" w:hangingChars="827" w:hanging="1985"/>
        <w:rPr>
          <w:rFonts w:ascii="Arial" w:eastAsia="SimSun" w:hAnsi="Arial"/>
          <w:sz w:val="24"/>
          <w:szCs w:val="24"/>
          <w:lang w:eastAsia="zh-CN"/>
        </w:rPr>
      </w:pPr>
      <w:r w:rsidRPr="001F3166">
        <w:rPr>
          <w:rFonts w:ascii="Arial" w:hAnsi="Arial"/>
          <w:b/>
          <w:sz w:val="24"/>
          <w:szCs w:val="24"/>
        </w:rPr>
        <w:t>Title:</w:t>
      </w:r>
      <w:r w:rsidR="009B5387">
        <w:rPr>
          <w:rFonts w:ascii="Arial" w:hAnsi="Arial"/>
          <w:sz w:val="24"/>
          <w:szCs w:val="24"/>
        </w:rPr>
        <w:t xml:space="preserve"> </w:t>
      </w:r>
      <w:r w:rsidR="009B5387">
        <w:rPr>
          <w:rFonts w:ascii="Arial" w:hAnsi="Arial"/>
          <w:sz w:val="24"/>
          <w:szCs w:val="24"/>
        </w:rPr>
        <w:tab/>
      </w:r>
      <w:r w:rsidR="009B5387">
        <w:rPr>
          <w:rFonts w:ascii="Arial" w:hAnsi="Arial"/>
          <w:sz w:val="24"/>
          <w:szCs w:val="24"/>
        </w:rPr>
        <w:tab/>
      </w:r>
      <w:r w:rsidR="00763DD5" w:rsidRPr="00763DD5">
        <w:rPr>
          <w:rFonts w:ascii="Arial" w:hAnsi="Arial"/>
          <w:sz w:val="24"/>
          <w:szCs w:val="24"/>
        </w:rPr>
        <w:t>On Mechanisms to improve reliability for RRC_CONNECTED UEs</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167937" w:rsidRDefault="00167937" w:rsidP="00BC222F">
      <w:pPr>
        <w:pStyle w:val="Style1"/>
        <w:pBdr>
          <w:bottom w:val="single" w:sz="6" w:space="1" w:color="auto"/>
        </w:pBdr>
        <w:spacing w:after="0" w:afterAutospacing="0" w:line="360" w:lineRule="auto"/>
        <w:rPr>
          <w:rFonts w:eastAsiaTheme="minorEastAsia"/>
          <w:lang w:eastAsia="ko-KR"/>
        </w:rPr>
      </w:pPr>
      <w:r>
        <w:rPr>
          <w:rFonts w:eastAsiaTheme="minorEastAsia" w:hint="eastAsia"/>
          <w:lang w:eastAsia="ko-KR"/>
        </w:rPr>
        <w:t xml:space="preserve">In order to </w:t>
      </w:r>
      <w:r>
        <w:rPr>
          <w:rFonts w:eastAsiaTheme="minorEastAsia"/>
          <w:lang w:eastAsia="ko-KR"/>
        </w:rPr>
        <w:t xml:space="preserve">support multicast transmission in NR, the work item was approved for Rel-17 [1]. There would be many applications of multicast data transmission, which was not supported by NR in Rel-15 and Rel-16, where the use cases include mission critical, V2X applications, multicast delivery, IPTV, software delivery over wireless, group communications and IoT applications. </w:t>
      </w:r>
    </w:p>
    <w:p w:rsidR="005D5BD7" w:rsidRDefault="009D0EFF" w:rsidP="00BC222F">
      <w:pPr>
        <w:pStyle w:val="Style1"/>
        <w:pBdr>
          <w:bottom w:val="single" w:sz="6" w:space="1" w:color="auto"/>
        </w:pBdr>
        <w:spacing w:after="0" w:afterAutospacing="0" w:line="360" w:lineRule="auto"/>
      </w:pPr>
      <w:r>
        <w:t xml:space="preserve">In this contribution, how to improve reliability for </w:t>
      </w:r>
      <w:r w:rsidRPr="00ED7B3E">
        <w:rPr>
          <w:i/>
        </w:rPr>
        <w:t>RRC_conneted</w:t>
      </w:r>
      <w:r>
        <w:t xml:space="preserve"> UEs in supporting multicast services is discussed</w:t>
      </w:r>
      <w:r w:rsidR="006C5B12">
        <w:t>.</w:t>
      </w:r>
    </w:p>
    <w:p w:rsidR="00236222" w:rsidRPr="00BF18A8" w:rsidRDefault="006B7D3B" w:rsidP="00BC222F">
      <w:pPr>
        <w:pStyle w:val="1"/>
        <w:spacing w:before="0" w:after="0" w:line="360" w:lineRule="auto"/>
        <w:rPr>
          <w:lang w:val="en-US" w:eastAsia="ko-KR"/>
        </w:rPr>
      </w:pPr>
      <w:r w:rsidRPr="006B7D3B">
        <w:rPr>
          <w:lang w:val="en-US" w:eastAsia="ko-KR"/>
        </w:rPr>
        <w:t>Discussion</w:t>
      </w:r>
    </w:p>
    <w:p w:rsidR="00256C03" w:rsidRDefault="009F0B72" w:rsidP="00B61F65">
      <w:pPr>
        <w:pStyle w:val="ac"/>
        <w:spacing w:before="0" w:after="0" w:line="360" w:lineRule="auto"/>
        <w:ind w:firstLine="284"/>
        <w:jc w:val="both"/>
        <w:rPr>
          <w:rFonts w:eastAsiaTheme="minorEastAsia"/>
          <w:b w:val="0"/>
          <w:lang w:val="en-US" w:eastAsia="ko-KR"/>
        </w:rPr>
      </w:pPr>
      <w:r>
        <w:rPr>
          <w:rFonts w:eastAsiaTheme="minorEastAsia"/>
          <w:b w:val="0"/>
          <w:lang w:val="en-US" w:eastAsia="ko-KR"/>
        </w:rPr>
        <w:t xml:space="preserve">One of the critical points to improve reliability is introducing UL feedback. For </w:t>
      </w:r>
      <w:r w:rsidRPr="009F0B72">
        <w:rPr>
          <w:rFonts w:eastAsiaTheme="minorEastAsia"/>
          <w:b w:val="0"/>
          <w:i/>
          <w:lang w:val="en-US" w:eastAsia="ko-KR"/>
        </w:rPr>
        <w:t>RRC_connected</w:t>
      </w:r>
      <w:r>
        <w:rPr>
          <w:rFonts w:eastAsiaTheme="minorEastAsia"/>
          <w:b w:val="0"/>
          <w:lang w:val="en-US" w:eastAsia="ko-KR"/>
        </w:rPr>
        <w:t xml:space="preserve"> UEs, the gNB can configure the resources for PUCCH to deliver HARQ-ACK feedback for multicast. Therefore, those PUCCH resource can be utilized for HARQ-ACK feedback corresponding to multicast PDSCH. </w:t>
      </w:r>
    </w:p>
    <w:p w:rsidR="00752B6E" w:rsidRDefault="00B838F7" w:rsidP="00B61F65">
      <w:pPr>
        <w:pStyle w:val="ac"/>
        <w:spacing w:before="0" w:after="0" w:line="360" w:lineRule="auto"/>
        <w:jc w:val="both"/>
      </w:pPr>
      <w:bookmarkStart w:id="3" w:name="_Ref47653517"/>
      <w:r>
        <w:t xml:space="preserve">Proposal </w:t>
      </w:r>
      <w:r>
        <w:fldChar w:fldCharType="begin"/>
      </w:r>
      <w:r>
        <w:instrText xml:space="preserve"> SEQ Proposal \* ARABIC </w:instrText>
      </w:r>
      <w:r>
        <w:fldChar w:fldCharType="separate"/>
      </w:r>
      <w:r>
        <w:rPr>
          <w:noProof/>
        </w:rPr>
        <w:t>1</w:t>
      </w:r>
      <w:r>
        <w:fldChar w:fldCharType="end"/>
      </w:r>
      <w:r>
        <w:t>. HARQ-ACK feedback</w:t>
      </w:r>
      <w:r w:rsidR="009F0B72">
        <w:t xml:space="preserve"> corresponding to PDSCH</w:t>
      </w:r>
      <w:r>
        <w:t xml:space="preserve"> is supported for multicast.</w:t>
      </w:r>
      <w:bookmarkEnd w:id="3"/>
    </w:p>
    <w:p w:rsidR="00B838F7" w:rsidRDefault="00B838F7" w:rsidP="00B61F65">
      <w:pPr>
        <w:spacing w:after="0" w:line="360" w:lineRule="auto"/>
        <w:jc w:val="both"/>
        <w:rPr>
          <w:lang w:val="en-GB"/>
        </w:rPr>
      </w:pPr>
    </w:p>
    <w:p w:rsidR="00B838F7" w:rsidRPr="009F0B72" w:rsidRDefault="009F0B72" w:rsidP="00473718">
      <w:pPr>
        <w:spacing w:after="0" w:line="360" w:lineRule="auto"/>
        <w:ind w:firstLine="284"/>
        <w:jc w:val="both"/>
        <w:rPr>
          <w:lang w:val="en-GB"/>
        </w:rPr>
      </w:pPr>
      <w:r>
        <w:rPr>
          <w:lang w:val="en-GB"/>
        </w:rPr>
        <w:t xml:space="preserve">For </w:t>
      </w:r>
      <w:r w:rsidRPr="00473718">
        <w:rPr>
          <w:rFonts w:eastAsiaTheme="minorEastAsia"/>
          <w:i/>
          <w:lang w:eastAsia="ko-KR"/>
        </w:rPr>
        <w:t>RRC_connected</w:t>
      </w:r>
      <w:r>
        <w:rPr>
          <w:lang w:val="en-GB"/>
        </w:rPr>
        <w:t xml:space="preserve"> UEs, unicast and multicast PDSCH’s can be scheduled slot-by-slot. It means, dynamic scheduling of unicast and multicast services could be possible. In this regards, a UE can be required to transmit HARQ-ACK feedback for unicast and multicast PDSCH at the same time. In this case, </w:t>
      </w:r>
      <w:r w:rsidR="00F64480">
        <w:rPr>
          <w:lang w:val="en-GB"/>
        </w:rPr>
        <w:t xml:space="preserve">it can be discussed whether to multiplex the HARQ-ACK feedback bits for unicast and multicast for a given UEs. </w:t>
      </w:r>
      <w:r w:rsidR="00B61F65">
        <w:rPr>
          <w:lang w:val="en-GB"/>
        </w:rPr>
        <w:t xml:space="preserve">In order to have flexibility and have high reliability for many use cases, multiplexing and prioritization may be needed. </w:t>
      </w:r>
    </w:p>
    <w:p w:rsidR="00B838F7" w:rsidRPr="00B838F7" w:rsidRDefault="00B838F7" w:rsidP="00B61F65">
      <w:pPr>
        <w:pStyle w:val="ac"/>
        <w:spacing w:before="0" w:after="0" w:line="360" w:lineRule="auto"/>
        <w:jc w:val="both"/>
      </w:pPr>
      <w:bookmarkStart w:id="4" w:name="_Ref47653521"/>
      <w:r>
        <w:t xml:space="preserve">Proposal </w:t>
      </w:r>
      <w:r>
        <w:fldChar w:fldCharType="begin"/>
      </w:r>
      <w:r>
        <w:instrText xml:space="preserve"> SEQ Proposal \* ARABIC </w:instrText>
      </w:r>
      <w:r>
        <w:fldChar w:fldCharType="separate"/>
      </w:r>
      <w:r>
        <w:rPr>
          <w:noProof/>
        </w:rPr>
        <w:t>2</w:t>
      </w:r>
      <w:r>
        <w:fldChar w:fldCharType="end"/>
      </w:r>
      <w:r>
        <w:t xml:space="preserve">. </w:t>
      </w:r>
      <w:r w:rsidR="009F0B72">
        <w:t>Both m</w:t>
      </w:r>
      <w:r>
        <w:t>ultiplexing</w:t>
      </w:r>
      <w:r w:rsidR="009F0B72">
        <w:t xml:space="preserve"> and prioritization</w:t>
      </w:r>
      <w:r>
        <w:t xml:space="preserve"> of HARQ-ACK </w:t>
      </w:r>
      <w:r w:rsidR="008B007F">
        <w:t>feedback between</w:t>
      </w:r>
      <w:r>
        <w:t xml:space="preserve"> unicast and multicast transmission</w:t>
      </w:r>
      <w:r w:rsidR="009F0B72">
        <w:t xml:space="preserve"> are</w:t>
      </w:r>
      <w:r>
        <w:t xml:space="preserve"> supported.</w:t>
      </w:r>
      <w:bookmarkEnd w:id="4"/>
    </w:p>
    <w:p w:rsidR="00752B6E" w:rsidRDefault="00752B6E" w:rsidP="00B61F65">
      <w:pPr>
        <w:spacing w:after="0" w:line="360" w:lineRule="auto"/>
        <w:jc w:val="both"/>
        <w:rPr>
          <w:rFonts w:eastAsiaTheme="minorEastAsia"/>
          <w:lang w:eastAsia="ko-KR"/>
        </w:rPr>
      </w:pPr>
      <w:bookmarkStart w:id="5" w:name="_GoBack"/>
      <w:bookmarkEnd w:id="5"/>
    </w:p>
    <w:p w:rsidR="00752B6E" w:rsidRDefault="00473718" w:rsidP="00473718">
      <w:pPr>
        <w:spacing w:after="0" w:line="360" w:lineRule="auto"/>
        <w:ind w:firstLine="284"/>
        <w:jc w:val="both"/>
        <w:rPr>
          <w:rFonts w:eastAsiaTheme="minorEastAsia"/>
          <w:lang w:eastAsia="ko-KR"/>
        </w:rPr>
      </w:pPr>
      <w:r>
        <w:rPr>
          <w:rFonts w:eastAsiaTheme="minorEastAsia" w:hint="eastAsia"/>
          <w:lang w:eastAsia="ko-KR"/>
        </w:rPr>
        <w:t>In Rel-15 NR,</w:t>
      </w:r>
      <w:r>
        <w:rPr>
          <w:rFonts w:eastAsiaTheme="minorEastAsia"/>
          <w:lang w:eastAsia="ko-KR"/>
        </w:rPr>
        <w:t xml:space="preserve"> three MCS tables are defined: 1) 64-QAM MCS table, 2) 256-QAM MCS table, and 3) low-coding rate MCS table. </w:t>
      </w:r>
      <w:r w:rsidR="00C87CFD">
        <w:rPr>
          <w:rFonts w:eastAsiaTheme="minorEastAsia"/>
          <w:lang w:eastAsia="ko-KR"/>
        </w:rPr>
        <w:t xml:space="preserve">Depending on use cases, all of three MCS tables could be an optimal one. </w:t>
      </w:r>
      <w:r>
        <w:rPr>
          <w:rFonts w:eastAsiaTheme="minorEastAsia" w:hint="eastAsia"/>
          <w:lang w:eastAsia="ko-KR"/>
        </w:rPr>
        <w:t xml:space="preserve"> </w:t>
      </w:r>
    </w:p>
    <w:p w:rsidR="00B838F7" w:rsidRPr="00B838F7" w:rsidRDefault="00B838F7" w:rsidP="00B61F65">
      <w:pPr>
        <w:pStyle w:val="ac"/>
        <w:spacing w:before="0" w:after="0" w:line="360" w:lineRule="auto"/>
        <w:jc w:val="both"/>
        <w:rPr>
          <w:rFonts w:eastAsiaTheme="minorEastAsia"/>
          <w:lang w:val="en-US" w:eastAsia="ko-KR"/>
        </w:rPr>
      </w:pPr>
      <w:bookmarkStart w:id="6" w:name="_Ref47653524"/>
      <w:r>
        <w:t xml:space="preserve">Proposal </w:t>
      </w:r>
      <w:r>
        <w:fldChar w:fldCharType="begin"/>
      </w:r>
      <w:r>
        <w:instrText xml:space="preserve"> SEQ Proposal \* ARABIC </w:instrText>
      </w:r>
      <w:r>
        <w:fldChar w:fldCharType="separate"/>
      </w:r>
      <w:r>
        <w:rPr>
          <w:noProof/>
        </w:rPr>
        <w:t>3</w:t>
      </w:r>
      <w:r>
        <w:fldChar w:fldCharType="end"/>
      </w:r>
      <w:r>
        <w:t>. All MCS tables defined in Rel-15 NR are supported for multicast.</w:t>
      </w:r>
      <w:bookmarkEnd w:id="6"/>
    </w:p>
    <w:p w:rsidR="00A41F8F" w:rsidRDefault="00A41F8F" w:rsidP="00B61F65">
      <w:pPr>
        <w:pBdr>
          <w:bottom w:val="single" w:sz="6" w:space="1" w:color="auto"/>
        </w:pBdr>
        <w:spacing w:after="0" w:line="360" w:lineRule="auto"/>
        <w:jc w:val="both"/>
        <w:rPr>
          <w:rFonts w:eastAsiaTheme="minorEastAsia"/>
          <w:lang w:eastAsia="ko-KR"/>
        </w:rPr>
      </w:pPr>
    </w:p>
    <w:p w:rsidR="006B7D3B" w:rsidRPr="00BF18A8" w:rsidRDefault="006B7D3B" w:rsidP="00BC222F">
      <w:pPr>
        <w:pStyle w:val="1"/>
        <w:spacing w:before="0" w:after="0" w:line="360" w:lineRule="auto"/>
        <w:rPr>
          <w:lang w:val="en-US" w:eastAsia="ko-KR"/>
        </w:rPr>
      </w:pPr>
      <w:r w:rsidRPr="00BF18A8">
        <w:rPr>
          <w:lang w:val="en-US" w:eastAsia="ko-KR"/>
        </w:rPr>
        <w:t>Conclusions</w:t>
      </w:r>
    </w:p>
    <w:p w:rsidR="006B7D3B" w:rsidRDefault="00BC222F" w:rsidP="00BC222F">
      <w:pPr>
        <w:spacing w:after="0" w:line="360" w:lineRule="auto"/>
        <w:jc w:val="both"/>
        <w:rPr>
          <w:kern w:val="2"/>
          <w:lang w:eastAsia="zh-CN"/>
        </w:rPr>
      </w:pPr>
      <w:r w:rsidRPr="00333113">
        <w:rPr>
          <w:kern w:val="2"/>
          <w:lang w:eastAsia="zh-CN"/>
        </w:rPr>
        <w:t xml:space="preserve">This contribution considered </w:t>
      </w:r>
      <w:r w:rsidR="00E63C1B">
        <w:rPr>
          <w:kern w:val="2"/>
          <w:lang w:eastAsia="zh-CN"/>
        </w:rPr>
        <w:t>improvement of reliability</w:t>
      </w:r>
      <w:r>
        <w:rPr>
          <w:kern w:val="2"/>
          <w:lang w:eastAsia="zh-CN"/>
        </w:rPr>
        <w:t xml:space="preserve"> to support multicast transmission in NR and provided the following proposals.</w:t>
      </w:r>
    </w:p>
    <w:p w:rsidR="00E63C1B" w:rsidRPr="00E63C1B" w:rsidRDefault="00E63C1B" w:rsidP="00BC222F">
      <w:pPr>
        <w:spacing w:after="0" w:line="360" w:lineRule="auto"/>
        <w:ind w:left="850" w:hangingChars="425" w:hanging="850"/>
        <w:jc w:val="both"/>
        <w:rPr>
          <w:b/>
          <w:kern w:val="2"/>
          <w:lang w:eastAsia="zh-CN"/>
        </w:rPr>
      </w:pPr>
      <w:r w:rsidRPr="00E63C1B">
        <w:rPr>
          <w:b/>
          <w:kern w:val="2"/>
          <w:lang w:eastAsia="zh-CN"/>
        </w:rPr>
        <w:fldChar w:fldCharType="begin"/>
      </w:r>
      <w:r w:rsidRPr="00E63C1B">
        <w:rPr>
          <w:b/>
          <w:kern w:val="2"/>
          <w:lang w:eastAsia="zh-CN"/>
        </w:rPr>
        <w:instrText xml:space="preserve"> REF _Ref47653517 \h  \* MERGEFORMAT </w:instrText>
      </w:r>
      <w:r w:rsidRPr="00E63C1B">
        <w:rPr>
          <w:b/>
          <w:kern w:val="2"/>
          <w:lang w:eastAsia="zh-CN"/>
        </w:rPr>
      </w:r>
      <w:r w:rsidRPr="00E63C1B">
        <w:rPr>
          <w:b/>
          <w:kern w:val="2"/>
          <w:lang w:eastAsia="zh-CN"/>
        </w:rPr>
        <w:fldChar w:fldCharType="separate"/>
      </w:r>
      <w:r w:rsidRPr="00E63C1B">
        <w:rPr>
          <w:b/>
        </w:rPr>
        <w:t xml:space="preserve">Proposal </w:t>
      </w:r>
      <w:r w:rsidRPr="00E63C1B">
        <w:rPr>
          <w:b/>
          <w:noProof/>
        </w:rPr>
        <w:t>1</w:t>
      </w:r>
      <w:r w:rsidRPr="00E63C1B">
        <w:rPr>
          <w:b/>
        </w:rPr>
        <w:t>. HARQ-ACK feedback corresponding to PDSCH is supported for multicast.</w:t>
      </w:r>
      <w:r w:rsidRPr="00E63C1B">
        <w:rPr>
          <w:b/>
          <w:kern w:val="2"/>
          <w:lang w:eastAsia="zh-CN"/>
        </w:rPr>
        <w:fldChar w:fldCharType="end"/>
      </w:r>
    </w:p>
    <w:p w:rsidR="00E63C1B" w:rsidRPr="00E63C1B" w:rsidRDefault="00E63C1B" w:rsidP="00BC222F">
      <w:pPr>
        <w:spacing w:after="0" w:line="360" w:lineRule="auto"/>
        <w:ind w:left="850" w:hangingChars="425" w:hanging="850"/>
        <w:jc w:val="both"/>
        <w:rPr>
          <w:b/>
          <w:kern w:val="2"/>
          <w:lang w:eastAsia="zh-CN"/>
        </w:rPr>
      </w:pPr>
      <w:r w:rsidRPr="00E63C1B">
        <w:rPr>
          <w:b/>
          <w:kern w:val="2"/>
          <w:lang w:eastAsia="zh-CN"/>
        </w:rPr>
        <w:fldChar w:fldCharType="begin"/>
      </w:r>
      <w:r w:rsidRPr="00E63C1B">
        <w:rPr>
          <w:b/>
          <w:kern w:val="2"/>
          <w:lang w:eastAsia="zh-CN"/>
        </w:rPr>
        <w:instrText xml:space="preserve"> REF _Ref47653521 \h  \* MERGEFORMAT </w:instrText>
      </w:r>
      <w:r w:rsidRPr="00E63C1B">
        <w:rPr>
          <w:b/>
          <w:kern w:val="2"/>
          <w:lang w:eastAsia="zh-CN"/>
        </w:rPr>
      </w:r>
      <w:r w:rsidRPr="00E63C1B">
        <w:rPr>
          <w:b/>
          <w:kern w:val="2"/>
          <w:lang w:eastAsia="zh-CN"/>
        </w:rPr>
        <w:fldChar w:fldCharType="separate"/>
      </w:r>
      <w:r w:rsidRPr="00E63C1B">
        <w:rPr>
          <w:b/>
        </w:rPr>
        <w:t xml:space="preserve">Proposal </w:t>
      </w:r>
      <w:r w:rsidRPr="00E63C1B">
        <w:rPr>
          <w:b/>
          <w:noProof/>
        </w:rPr>
        <w:t>2</w:t>
      </w:r>
      <w:r w:rsidRPr="00E63C1B">
        <w:rPr>
          <w:b/>
        </w:rPr>
        <w:t>. Both multiplexing and prioritization of HARQ-ACK of unicast and multicast transmission are supported.</w:t>
      </w:r>
      <w:r w:rsidRPr="00E63C1B">
        <w:rPr>
          <w:b/>
          <w:kern w:val="2"/>
          <w:lang w:eastAsia="zh-CN"/>
        </w:rPr>
        <w:fldChar w:fldCharType="end"/>
      </w:r>
    </w:p>
    <w:p w:rsidR="00BC222F" w:rsidRPr="00E63C1B" w:rsidRDefault="00E63C1B" w:rsidP="00BC222F">
      <w:pPr>
        <w:spacing w:after="0" w:line="360" w:lineRule="auto"/>
        <w:ind w:left="850" w:hangingChars="425" w:hanging="850"/>
        <w:jc w:val="both"/>
        <w:rPr>
          <w:b/>
        </w:rPr>
      </w:pPr>
      <w:r w:rsidRPr="00E63C1B">
        <w:rPr>
          <w:b/>
          <w:kern w:val="2"/>
          <w:lang w:eastAsia="zh-CN"/>
        </w:rPr>
        <w:fldChar w:fldCharType="begin"/>
      </w:r>
      <w:r w:rsidRPr="00E63C1B">
        <w:rPr>
          <w:b/>
          <w:kern w:val="2"/>
          <w:lang w:eastAsia="zh-CN"/>
        </w:rPr>
        <w:instrText xml:space="preserve"> REF _Ref47653524 \h  \* MERGEFORMAT </w:instrText>
      </w:r>
      <w:r w:rsidRPr="00E63C1B">
        <w:rPr>
          <w:b/>
          <w:kern w:val="2"/>
          <w:lang w:eastAsia="zh-CN"/>
        </w:rPr>
      </w:r>
      <w:r w:rsidRPr="00E63C1B">
        <w:rPr>
          <w:b/>
          <w:kern w:val="2"/>
          <w:lang w:eastAsia="zh-CN"/>
        </w:rPr>
        <w:fldChar w:fldCharType="separate"/>
      </w:r>
      <w:r w:rsidRPr="00E63C1B">
        <w:rPr>
          <w:b/>
        </w:rPr>
        <w:t xml:space="preserve">Proposal </w:t>
      </w:r>
      <w:r w:rsidRPr="00E63C1B">
        <w:rPr>
          <w:b/>
          <w:noProof/>
        </w:rPr>
        <w:t>3</w:t>
      </w:r>
      <w:r w:rsidRPr="00E63C1B">
        <w:rPr>
          <w:b/>
        </w:rPr>
        <w:t>. All MCS tables defined in Rel-15 NR are supported for multicast.</w:t>
      </w:r>
      <w:r w:rsidRPr="00E63C1B">
        <w:rPr>
          <w:b/>
          <w:kern w:val="2"/>
          <w:lang w:eastAsia="zh-CN"/>
        </w:rPr>
        <w:fldChar w:fldCharType="end"/>
      </w:r>
      <w:r w:rsidR="00820DA6" w:rsidRPr="00E63C1B">
        <w:rPr>
          <w:b/>
          <w:kern w:val="2"/>
          <w:lang w:eastAsia="zh-CN"/>
        </w:rPr>
        <w:fldChar w:fldCharType="begin"/>
      </w:r>
      <w:r w:rsidR="00820DA6" w:rsidRPr="00E63C1B">
        <w:rPr>
          <w:b/>
          <w:kern w:val="2"/>
          <w:lang w:eastAsia="zh-CN"/>
        </w:rPr>
        <w:instrText xml:space="preserve"> REF _Ref7795776 \h  \* MERGEFORMAT </w:instrText>
      </w:r>
      <w:r w:rsidR="00820DA6" w:rsidRPr="00E63C1B">
        <w:rPr>
          <w:b/>
          <w:kern w:val="2"/>
          <w:lang w:eastAsia="zh-CN"/>
        </w:rPr>
      </w:r>
      <w:r w:rsidR="00820DA6" w:rsidRPr="00E63C1B">
        <w:rPr>
          <w:b/>
          <w:kern w:val="2"/>
          <w:lang w:eastAsia="zh-CN"/>
        </w:rPr>
        <w:fldChar w:fldCharType="separate"/>
      </w:r>
    </w:p>
    <w:p w:rsidR="00820DA6" w:rsidRPr="00820DA6" w:rsidRDefault="00820DA6" w:rsidP="00BC222F">
      <w:pPr>
        <w:spacing w:after="0" w:line="360" w:lineRule="auto"/>
        <w:ind w:left="850" w:hangingChars="425" w:hanging="850"/>
        <w:jc w:val="both"/>
        <w:rPr>
          <w:b/>
          <w:kern w:val="2"/>
          <w:lang w:eastAsia="zh-CN"/>
        </w:rPr>
      </w:pPr>
      <w:r w:rsidRPr="00E63C1B">
        <w:rPr>
          <w:b/>
          <w:kern w:val="2"/>
          <w:lang w:eastAsia="zh-CN"/>
        </w:rPr>
        <w:fldChar w:fldCharType="end"/>
      </w:r>
    </w:p>
    <w:p w:rsidR="00E85127" w:rsidRPr="00820DA6" w:rsidRDefault="00E85127" w:rsidP="00BC222F">
      <w:pPr>
        <w:pBdr>
          <w:bottom w:val="single" w:sz="6" w:space="1" w:color="auto"/>
        </w:pBdr>
        <w:spacing w:after="0" w:line="360" w:lineRule="auto"/>
        <w:jc w:val="both"/>
        <w:rPr>
          <w:rFonts w:eastAsia="맑은 고딕"/>
          <w:b/>
          <w:lang w:eastAsia="ko-KR"/>
        </w:rPr>
      </w:pPr>
    </w:p>
    <w:p w:rsidR="00764150" w:rsidRPr="00BF18A8" w:rsidRDefault="00764150" w:rsidP="00BC222F">
      <w:pPr>
        <w:pStyle w:val="1"/>
        <w:numPr>
          <w:ilvl w:val="0"/>
          <w:numId w:val="0"/>
        </w:numPr>
        <w:spacing w:before="0" w:after="0" w:line="360" w:lineRule="auto"/>
        <w:rPr>
          <w:rFonts w:eastAsia="바탕"/>
          <w:lang w:val="en-US" w:eastAsia="ko-KR"/>
        </w:rPr>
      </w:pPr>
      <w:r w:rsidRPr="00BF18A8">
        <w:rPr>
          <w:rFonts w:eastAsia="바탕"/>
          <w:lang w:val="en-US" w:eastAsia="ko-KR"/>
        </w:rPr>
        <w:t>References:</w:t>
      </w:r>
    </w:p>
    <w:p w:rsidR="00BC222F" w:rsidRPr="00CB2496" w:rsidRDefault="00BC222F" w:rsidP="00BC222F">
      <w:pPr>
        <w:spacing w:after="0" w:line="360" w:lineRule="auto"/>
        <w:rPr>
          <w:lang w:val="fi-FI"/>
        </w:rPr>
      </w:pPr>
      <w:bookmarkStart w:id="7" w:name="_Ref462779233"/>
      <w:r w:rsidRPr="00CB2496">
        <w:rPr>
          <w:rFonts w:hint="eastAsia"/>
          <w:lang w:val="fi-FI"/>
        </w:rPr>
        <w:t xml:space="preserve">[1] </w:t>
      </w:r>
      <w:bookmarkStart w:id="8" w:name="_Ref521501348"/>
      <w:r w:rsidRPr="00D82333">
        <w:rPr>
          <w:rFonts w:eastAsia="맑은 고딕"/>
          <w:lang w:eastAsia="ko-KR"/>
        </w:rPr>
        <w:t>RP‑</w:t>
      </w:r>
      <w:r>
        <w:rPr>
          <w:rFonts w:eastAsia="맑은 고딕"/>
          <w:lang w:eastAsia="ko-KR"/>
        </w:rPr>
        <w:t>201038</w:t>
      </w:r>
      <w:r w:rsidRPr="00A53E9B">
        <w:rPr>
          <w:rFonts w:eastAsia="맑은 고딕"/>
          <w:lang w:eastAsia="ko-KR"/>
        </w:rPr>
        <w:t>, “</w:t>
      </w:r>
      <w:r w:rsidRPr="004031EC">
        <w:rPr>
          <w:rFonts w:eastAsia="맑은 고딕"/>
          <w:lang w:eastAsia="ko-KR"/>
        </w:rPr>
        <w:t>Revised Work Item on NR Multicast and Broadcast Services</w:t>
      </w:r>
      <w:r w:rsidRPr="00A53E9B">
        <w:rPr>
          <w:rFonts w:eastAsia="맑은 고딕"/>
          <w:lang w:eastAsia="ko-KR"/>
        </w:rPr>
        <w:t>,”</w:t>
      </w:r>
      <w:bookmarkEnd w:id="8"/>
      <w:r w:rsidRPr="00A53E9B">
        <w:rPr>
          <w:rFonts w:eastAsia="맑은 고딕"/>
          <w:lang w:eastAsia="ko-KR"/>
        </w:rPr>
        <w:t xml:space="preserve"> </w:t>
      </w:r>
      <w:r>
        <w:rPr>
          <w:rFonts w:eastAsia="맑은 고딕"/>
          <w:lang w:eastAsia="ko-KR"/>
        </w:rPr>
        <w:t>June</w:t>
      </w:r>
      <w:r w:rsidRPr="00A53E9B">
        <w:rPr>
          <w:rFonts w:eastAsia="맑은 고딕"/>
          <w:lang w:eastAsia="ko-KR"/>
        </w:rPr>
        <w:t xml:space="preserve"> </w:t>
      </w:r>
      <w:r>
        <w:rPr>
          <w:rFonts w:eastAsia="맑은 고딕"/>
          <w:lang w:eastAsia="ko-KR"/>
        </w:rPr>
        <w:t>2020.</w:t>
      </w:r>
    </w:p>
    <w:bookmarkEnd w:id="7"/>
    <w:p w:rsidR="004C6985" w:rsidRPr="00BC222F" w:rsidRDefault="004C6985" w:rsidP="0057424D">
      <w:pPr>
        <w:spacing w:after="0" w:line="360" w:lineRule="auto"/>
        <w:rPr>
          <w:rFonts w:eastAsiaTheme="minorEastAsia"/>
          <w:lang w:val="fi-FI" w:eastAsia="ko-KR"/>
        </w:rPr>
      </w:pPr>
    </w:p>
    <w:sectPr w:rsidR="004C6985" w:rsidRPr="00BC222F"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555" w:rsidRPr="00C47AD2" w:rsidRDefault="002D2555">
      <w:pPr>
        <w:rPr>
          <w:rFonts w:ascii="Arial" w:hAnsi="Arial"/>
          <w:sz w:val="12"/>
        </w:rPr>
      </w:pPr>
      <w:r>
        <w:separator/>
      </w:r>
    </w:p>
  </w:endnote>
  <w:endnote w:type="continuationSeparator" w:id="0">
    <w:p w:rsidR="002D2555" w:rsidRPr="00C47AD2" w:rsidRDefault="002D255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D2555">
      <w:rPr>
        <w:rStyle w:val="aff0"/>
      </w:rPr>
      <w:t>1</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555" w:rsidRPr="00C47AD2" w:rsidRDefault="002D2555">
      <w:pPr>
        <w:rPr>
          <w:rFonts w:ascii="Arial" w:hAnsi="Arial"/>
          <w:sz w:val="12"/>
        </w:rPr>
      </w:pPr>
      <w:r>
        <w:separator/>
      </w:r>
    </w:p>
  </w:footnote>
  <w:footnote w:type="continuationSeparator" w:id="0">
    <w:p w:rsidR="002D2555" w:rsidRPr="00C47AD2" w:rsidRDefault="002D255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2"/>
  </w:num>
  <w:num w:numId="7">
    <w:abstractNumId w:val="21"/>
  </w:num>
  <w:num w:numId="8">
    <w:abstractNumId w:val="19"/>
  </w:num>
  <w:num w:numId="9">
    <w:abstractNumId w:val="27"/>
  </w:num>
  <w:num w:numId="10">
    <w:abstractNumId w:val="5"/>
  </w:num>
  <w:num w:numId="11">
    <w:abstractNumId w:val="7"/>
  </w:num>
  <w:num w:numId="12">
    <w:abstractNumId w:val="2"/>
  </w:num>
  <w:num w:numId="13">
    <w:abstractNumId w:val="30"/>
  </w:num>
  <w:num w:numId="14">
    <w:abstractNumId w:val="22"/>
  </w:num>
  <w:num w:numId="15">
    <w:abstractNumId w:val="28"/>
  </w:num>
  <w:num w:numId="16">
    <w:abstractNumId w:val="1"/>
  </w:num>
  <w:num w:numId="17">
    <w:abstractNumId w:val="17"/>
  </w:num>
  <w:num w:numId="18">
    <w:abstractNumId w:val="18"/>
  </w:num>
  <w:num w:numId="19">
    <w:abstractNumId w:val="8"/>
  </w:num>
  <w:num w:numId="20">
    <w:abstractNumId w:val="29"/>
  </w:num>
  <w:num w:numId="21">
    <w:abstractNumId w:val="9"/>
  </w:num>
  <w:num w:numId="22">
    <w:abstractNumId w:val="23"/>
  </w:num>
  <w:num w:numId="23">
    <w:abstractNumId w:val="11"/>
  </w:num>
  <w:num w:numId="24">
    <w:abstractNumId w:val="13"/>
  </w:num>
  <w:num w:numId="25">
    <w:abstractNumId w:val="16"/>
  </w:num>
  <w:num w:numId="26">
    <w:abstractNumId w:val="24"/>
  </w:num>
  <w:num w:numId="27">
    <w:abstractNumId w:val="12"/>
  </w:num>
  <w:num w:numId="28">
    <w:abstractNumId w:val="31"/>
  </w:num>
  <w:num w:numId="29">
    <w:abstractNumId w:val="4"/>
  </w:num>
  <w:num w:numId="30">
    <w:abstractNumId w:val="26"/>
  </w:num>
  <w:num w:numId="31">
    <w:abstractNumId w:val="3"/>
  </w:num>
  <w:num w:numId="32">
    <w:abstractNumId w:val="6"/>
  </w:num>
  <w:num w:numId="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937"/>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555"/>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B75"/>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18"/>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495"/>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37D"/>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27DBF"/>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B6E"/>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B72"/>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1F65"/>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8F7"/>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B3E"/>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480"/>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84"/>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A8D10-CA9F-4D43-B1D3-5E78D22C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423</Words>
  <Characters>2416</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4</cp:revision>
  <cp:lastPrinted>2010-03-24T01:20:00Z</cp:lastPrinted>
  <dcterms:created xsi:type="dcterms:W3CDTF">2020-08-07T05:55:00Z</dcterms:created>
  <dcterms:modified xsi:type="dcterms:W3CDTF">2020-08-07T09:34:00Z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